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D74" w:rsidRPr="00766D08" w:rsidRDefault="00FB1D74" w:rsidP="00AA2334">
      <w:pPr>
        <w:rPr>
          <w:rFonts w:ascii="Arial" w:hAnsi="Arial" w:cs="Arial"/>
          <w:sz w:val="24"/>
          <w:szCs w:val="24"/>
        </w:rPr>
      </w:pPr>
      <w:bookmarkStart w:id="0" w:name="_GoBack"/>
      <w:bookmarkEnd w:id="0"/>
      <w:r w:rsidRPr="00766D08">
        <w:rPr>
          <w:rFonts w:ascii="Arial" w:hAnsi="Arial" w:cs="Arial"/>
          <w:sz w:val="24"/>
          <w:szCs w:val="24"/>
        </w:rPr>
        <w:t xml:space="preserve">Greetings, </w:t>
      </w:r>
    </w:p>
    <w:p w:rsidR="00FB1D74" w:rsidRPr="00766D08" w:rsidRDefault="00FB1D74" w:rsidP="00AA2334">
      <w:pPr>
        <w:rPr>
          <w:rFonts w:ascii="Arial" w:hAnsi="Arial" w:cs="Arial"/>
          <w:sz w:val="24"/>
          <w:szCs w:val="24"/>
        </w:rPr>
      </w:pPr>
    </w:p>
    <w:p w:rsidR="00766D08" w:rsidRDefault="001A37F2" w:rsidP="00766D08">
      <w:pPr>
        <w:rPr>
          <w:rFonts w:ascii="Arial" w:hAnsi="Arial" w:cs="Arial"/>
          <w:sz w:val="24"/>
          <w:szCs w:val="24"/>
        </w:rPr>
      </w:pPr>
      <w:r w:rsidRPr="00766D08">
        <w:rPr>
          <w:rFonts w:ascii="Arial" w:hAnsi="Arial" w:cs="Arial"/>
          <w:sz w:val="24"/>
          <w:szCs w:val="24"/>
        </w:rPr>
        <w:t xml:space="preserve">Non-MSEP </w:t>
      </w:r>
      <w:r w:rsidR="00766D08" w:rsidRPr="00766D08">
        <w:rPr>
          <w:rFonts w:ascii="Arial" w:hAnsi="Arial" w:cs="Arial"/>
          <w:sz w:val="24"/>
          <w:szCs w:val="24"/>
        </w:rPr>
        <w:t>employer</w:t>
      </w:r>
      <w:r w:rsidR="00A738DC">
        <w:rPr>
          <w:rFonts w:ascii="Arial" w:hAnsi="Arial" w:cs="Arial"/>
          <w:sz w:val="24"/>
          <w:szCs w:val="24"/>
        </w:rPr>
        <w:t>,</w:t>
      </w:r>
      <w:r w:rsidR="00766D08" w:rsidRPr="00766D08">
        <w:rPr>
          <w:rFonts w:ascii="Arial" w:hAnsi="Arial" w:cs="Arial"/>
          <w:sz w:val="24"/>
          <w:szCs w:val="24"/>
        </w:rPr>
        <w:t xml:space="preserve"> Colorado State University Global Campus</w:t>
      </w:r>
      <w:r w:rsidR="00A738DC">
        <w:rPr>
          <w:rFonts w:ascii="Arial" w:hAnsi="Arial" w:cs="Arial"/>
          <w:sz w:val="24"/>
          <w:szCs w:val="24"/>
        </w:rPr>
        <w:t>,</w:t>
      </w:r>
      <w:r w:rsidR="00766D08" w:rsidRPr="00766D08">
        <w:rPr>
          <w:rFonts w:ascii="Arial" w:hAnsi="Arial" w:cs="Arial"/>
          <w:sz w:val="24"/>
          <w:szCs w:val="24"/>
        </w:rPr>
        <w:t xml:space="preserve"> is recruiting for a 100-percent remote </w:t>
      </w:r>
      <w:r w:rsidR="00766D08" w:rsidRPr="00A738DC">
        <w:rPr>
          <w:rFonts w:ascii="Arial" w:hAnsi="Arial" w:cs="Arial"/>
          <w:sz w:val="24"/>
          <w:szCs w:val="24"/>
          <w:u w:val="single"/>
        </w:rPr>
        <w:t>Transfer Evaluation Specialist</w:t>
      </w:r>
      <w:r w:rsidR="00766D08" w:rsidRPr="00766D08">
        <w:rPr>
          <w:rFonts w:ascii="Arial" w:hAnsi="Arial" w:cs="Arial"/>
          <w:sz w:val="24"/>
          <w:szCs w:val="24"/>
        </w:rPr>
        <w:t xml:space="preserve">. Colorado State University-Global Campus (CSU-Global) was created by the Colorado State University System Board of Governors in 2007 as the first 100 percent online state university in the United States. </w:t>
      </w:r>
    </w:p>
    <w:p w:rsidR="00766D08" w:rsidRDefault="00766D08" w:rsidP="00766D08">
      <w:pPr>
        <w:rPr>
          <w:rFonts w:ascii="Arial" w:hAnsi="Arial" w:cs="Arial"/>
          <w:sz w:val="24"/>
          <w:szCs w:val="24"/>
        </w:rPr>
      </w:pPr>
    </w:p>
    <w:p w:rsidR="001A37F2" w:rsidRPr="00766D08" w:rsidRDefault="001A37F2" w:rsidP="00AA2334">
      <w:pPr>
        <w:rPr>
          <w:rFonts w:ascii="Arial" w:hAnsi="Arial" w:cs="Arial"/>
          <w:sz w:val="24"/>
          <w:szCs w:val="24"/>
        </w:rPr>
      </w:pPr>
    </w:p>
    <w:tbl>
      <w:tblPr>
        <w:tblStyle w:val="TableGrid"/>
        <w:tblW w:w="8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5966"/>
      </w:tblGrid>
      <w:tr w:rsidR="00AA2334" w:rsidRPr="00766D08" w:rsidTr="00AA2334">
        <w:trPr>
          <w:trHeight w:val="214"/>
        </w:trPr>
        <w:tc>
          <w:tcPr>
            <w:tcW w:w="2745" w:type="dxa"/>
            <w:hideMark/>
          </w:tcPr>
          <w:p w:rsidR="00AA2334" w:rsidRPr="00766D08" w:rsidRDefault="00AA2334">
            <w:pPr>
              <w:rPr>
                <w:rFonts w:ascii="Arial" w:hAnsi="Arial" w:cs="Arial"/>
                <w:sz w:val="24"/>
                <w:szCs w:val="24"/>
              </w:rPr>
            </w:pPr>
            <w:r w:rsidRPr="00766D08">
              <w:rPr>
                <w:rFonts w:ascii="Arial" w:hAnsi="Arial" w:cs="Arial"/>
                <w:b/>
                <w:bCs/>
                <w:sz w:val="24"/>
                <w:szCs w:val="24"/>
              </w:rPr>
              <w:t>Position Title:</w:t>
            </w:r>
          </w:p>
        </w:tc>
        <w:tc>
          <w:tcPr>
            <w:tcW w:w="5966" w:type="dxa"/>
            <w:hideMark/>
          </w:tcPr>
          <w:p w:rsidR="00AA2334" w:rsidRPr="00766D08" w:rsidRDefault="00766D08">
            <w:pPr>
              <w:rPr>
                <w:rFonts w:ascii="Arial" w:hAnsi="Arial" w:cs="Arial"/>
                <w:sz w:val="24"/>
                <w:szCs w:val="24"/>
              </w:rPr>
            </w:pPr>
            <w:r w:rsidRPr="00766D08">
              <w:rPr>
                <w:rFonts w:ascii="Arial" w:hAnsi="Arial" w:cs="Arial"/>
                <w:sz w:val="24"/>
                <w:szCs w:val="24"/>
              </w:rPr>
              <w:t>Transfer Evaluation Specialist</w:t>
            </w:r>
          </w:p>
          <w:p w:rsidR="00FB1D74" w:rsidRPr="00766D08" w:rsidRDefault="00FB1D74">
            <w:pPr>
              <w:rPr>
                <w:rFonts w:ascii="Arial" w:hAnsi="Arial" w:cs="Arial"/>
                <w:sz w:val="24"/>
                <w:szCs w:val="24"/>
              </w:rPr>
            </w:pPr>
          </w:p>
        </w:tc>
      </w:tr>
      <w:tr w:rsidR="00AA2334" w:rsidRPr="00766D08" w:rsidTr="00766D08">
        <w:trPr>
          <w:trHeight w:val="423"/>
        </w:trPr>
        <w:tc>
          <w:tcPr>
            <w:tcW w:w="2745" w:type="dxa"/>
            <w:hideMark/>
          </w:tcPr>
          <w:p w:rsidR="00AA2334" w:rsidRPr="00766D08" w:rsidRDefault="00AA2334">
            <w:pPr>
              <w:rPr>
                <w:rFonts w:ascii="Arial" w:hAnsi="Arial" w:cs="Arial"/>
                <w:b/>
                <w:bCs/>
                <w:sz w:val="24"/>
                <w:szCs w:val="24"/>
              </w:rPr>
            </w:pPr>
            <w:r w:rsidRPr="00766D08">
              <w:rPr>
                <w:rFonts w:ascii="Arial" w:hAnsi="Arial" w:cs="Arial"/>
                <w:b/>
                <w:bCs/>
                <w:sz w:val="24"/>
                <w:szCs w:val="24"/>
              </w:rPr>
              <w:t>Location:</w:t>
            </w:r>
          </w:p>
        </w:tc>
        <w:tc>
          <w:tcPr>
            <w:tcW w:w="5966" w:type="dxa"/>
            <w:hideMark/>
          </w:tcPr>
          <w:p w:rsidR="00AA2334" w:rsidRPr="00766D08" w:rsidRDefault="00766D08">
            <w:pPr>
              <w:rPr>
                <w:rFonts w:ascii="Arial" w:hAnsi="Arial" w:cs="Arial"/>
                <w:sz w:val="24"/>
                <w:szCs w:val="24"/>
              </w:rPr>
            </w:pPr>
            <w:r w:rsidRPr="00766D08">
              <w:rPr>
                <w:rFonts w:ascii="Arial" w:hAnsi="Arial" w:cs="Arial"/>
                <w:sz w:val="24"/>
                <w:szCs w:val="24"/>
              </w:rPr>
              <w:t>100-percent Remote</w:t>
            </w:r>
          </w:p>
          <w:p w:rsidR="00FB1D74" w:rsidRPr="00766D08" w:rsidRDefault="00FB1D74">
            <w:pPr>
              <w:rPr>
                <w:rFonts w:ascii="Arial" w:hAnsi="Arial" w:cs="Arial"/>
                <w:sz w:val="24"/>
                <w:szCs w:val="24"/>
              </w:rPr>
            </w:pPr>
          </w:p>
        </w:tc>
      </w:tr>
      <w:tr w:rsidR="00766D08" w:rsidRPr="00766D08" w:rsidTr="00766D08">
        <w:trPr>
          <w:trHeight w:val="423"/>
        </w:trPr>
        <w:tc>
          <w:tcPr>
            <w:tcW w:w="2745" w:type="dxa"/>
          </w:tcPr>
          <w:p w:rsidR="00766D08" w:rsidRPr="00766D08" w:rsidRDefault="00766D08">
            <w:pPr>
              <w:rPr>
                <w:rFonts w:ascii="Arial" w:hAnsi="Arial" w:cs="Arial"/>
                <w:b/>
                <w:bCs/>
                <w:sz w:val="24"/>
                <w:szCs w:val="24"/>
              </w:rPr>
            </w:pPr>
            <w:r w:rsidRPr="00766D08">
              <w:rPr>
                <w:rFonts w:ascii="Arial" w:hAnsi="Arial" w:cs="Arial"/>
                <w:b/>
                <w:bCs/>
                <w:sz w:val="24"/>
                <w:szCs w:val="24"/>
              </w:rPr>
              <w:t>Position Responsibilities:</w:t>
            </w:r>
          </w:p>
        </w:tc>
        <w:tc>
          <w:tcPr>
            <w:tcW w:w="5966" w:type="dxa"/>
          </w:tcPr>
          <w:p w:rsidR="00766D08" w:rsidRPr="00766D08" w:rsidRDefault="00766D08">
            <w:pPr>
              <w:rPr>
                <w:rFonts w:ascii="Arial" w:hAnsi="Arial" w:cs="Arial"/>
                <w:sz w:val="24"/>
                <w:szCs w:val="24"/>
              </w:rPr>
            </w:pPr>
            <w:r w:rsidRPr="00766D08">
              <w:rPr>
                <w:rFonts w:ascii="Arial" w:hAnsi="Arial" w:cs="Arial"/>
                <w:sz w:val="24"/>
                <w:szCs w:val="24"/>
              </w:rPr>
              <w:t>The Transfer Evaluation Specialist supports the university mission by providing accurate and timely evaluations on the transfer-ability of credits to our students. They are responsible for evaluating all types of credits and experiences for transfer-ability, including traditional college credits, military credits as well as assessing nontraditional credits (ACE, CLEP, DSST and corporate training) to maximize credits based on university policy. The specialist will work closely with faculty, when required, seeking recommendations for possible transfer of alternative credit. The Transfer Evaluation Specialist must possess the ability to thrive in an extremely dynamic work environment while consistently applying critical thinking and professional judgment.  This is an at-will position that is full time, exempt and will report directly to the Manager of Transfer Evaluation Services.</w:t>
            </w:r>
          </w:p>
          <w:p w:rsidR="00766D08" w:rsidRPr="00766D08" w:rsidRDefault="00766D08">
            <w:pPr>
              <w:rPr>
                <w:rFonts w:ascii="Arial" w:hAnsi="Arial" w:cs="Arial"/>
                <w:sz w:val="24"/>
                <w:szCs w:val="24"/>
              </w:rPr>
            </w:pPr>
          </w:p>
        </w:tc>
      </w:tr>
      <w:tr w:rsidR="00766D08" w:rsidRPr="00766D08" w:rsidTr="00AA2334">
        <w:trPr>
          <w:trHeight w:val="199"/>
        </w:trPr>
        <w:tc>
          <w:tcPr>
            <w:tcW w:w="2745" w:type="dxa"/>
            <w:hideMark/>
          </w:tcPr>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r w:rsidRPr="00766D08">
              <w:rPr>
                <w:rFonts w:ascii="Arial" w:hAnsi="Arial" w:cs="Arial"/>
                <w:b/>
                <w:bCs/>
                <w:sz w:val="24"/>
                <w:szCs w:val="24"/>
              </w:rPr>
              <w:t>Position Requirements:</w:t>
            </w:r>
          </w:p>
        </w:tc>
        <w:tc>
          <w:tcPr>
            <w:tcW w:w="5966" w:type="dxa"/>
            <w:hideMark/>
          </w:tcPr>
          <w:p w:rsidR="00766D08" w:rsidRDefault="00766D08" w:rsidP="00766D08">
            <w:pPr>
              <w:rPr>
                <w:rFonts w:ascii="Arial" w:hAnsi="Arial" w:cs="Arial"/>
                <w:sz w:val="24"/>
                <w:szCs w:val="24"/>
              </w:rPr>
            </w:pPr>
          </w:p>
          <w:p w:rsidR="00766D08" w:rsidRPr="00766D08" w:rsidRDefault="00766D08" w:rsidP="00766D08">
            <w:pPr>
              <w:rPr>
                <w:rFonts w:ascii="Arial" w:hAnsi="Arial" w:cs="Arial"/>
                <w:sz w:val="24"/>
                <w:szCs w:val="24"/>
              </w:rPr>
            </w:pPr>
            <w:r w:rsidRPr="00766D08">
              <w:rPr>
                <w:rFonts w:ascii="Arial" w:hAnsi="Arial" w:cs="Arial"/>
                <w:sz w:val="24"/>
                <w:szCs w:val="24"/>
              </w:rPr>
              <w:t xml:space="preserve">• Prepare unofficial transfer credit reviews and provide estimated summaries of transfer credits to students </w:t>
            </w:r>
          </w:p>
        </w:tc>
      </w:tr>
      <w:tr w:rsidR="00766D08" w:rsidRPr="00766D08" w:rsidTr="00AA2334">
        <w:trPr>
          <w:trHeight w:val="649"/>
        </w:trPr>
        <w:tc>
          <w:tcPr>
            <w:tcW w:w="2745" w:type="dxa"/>
            <w:hideMark/>
          </w:tcPr>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p>
          <w:p w:rsidR="00766D08" w:rsidRDefault="00766D08" w:rsidP="00766D08">
            <w:pPr>
              <w:rPr>
                <w:rFonts w:ascii="Arial" w:hAnsi="Arial" w:cs="Arial"/>
                <w:b/>
                <w:bCs/>
                <w:sz w:val="24"/>
                <w:szCs w:val="24"/>
              </w:rPr>
            </w:pPr>
          </w:p>
          <w:p w:rsidR="00766D08" w:rsidRDefault="00766D08" w:rsidP="00766D08">
            <w:pPr>
              <w:rPr>
                <w:rFonts w:ascii="Arial" w:hAnsi="Arial" w:cs="Arial"/>
                <w:b/>
                <w:bCs/>
                <w:sz w:val="24"/>
                <w:szCs w:val="24"/>
              </w:rPr>
            </w:pPr>
          </w:p>
          <w:p w:rsidR="00766D08" w:rsidRDefault="00766D08" w:rsidP="00766D08">
            <w:pPr>
              <w:rPr>
                <w:rFonts w:ascii="Arial" w:hAnsi="Arial" w:cs="Arial"/>
                <w:b/>
                <w:bCs/>
                <w:sz w:val="24"/>
                <w:szCs w:val="24"/>
              </w:rPr>
            </w:pPr>
          </w:p>
          <w:p w:rsidR="00766D08" w:rsidRDefault="00766D08" w:rsidP="00766D08">
            <w:pPr>
              <w:rPr>
                <w:rFonts w:ascii="Arial" w:hAnsi="Arial" w:cs="Arial"/>
                <w:b/>
                <w:bCs/>
                <w:sz w:val="24"/>
                <w:szCs w:val="24"/>
              </w:rPr>
            </w:pPr>
          </w:p>
          <w:p w:rsidR="00766D08" w:rsidRDefault="00766D08" w:rsidP="00766D08">
            <w:pPr>
              <w:rPr>
                <w:rFonts w:ascii="Arial" w:hAnsi="Arial" w:cs="Arial"/>
                <w:b/>
                <w:bCs/>
                <w:sz w:val="24"/>
                <w:szCs w:val="24"/>
              </w:rPr>
            </w:pPr>
          </w:p>
          <w:p w:rsidR="00766D08" w:rsidRDefault="00766D08" w:rsidP="00766D08">
            <w:pPr>
              <w:rPr>
                <w:rFonts w:ascii="Arial" w:hAnsi="Arial" w:cs="Arial"/>
                <w:b/>
                <w:bCs/>
                <w:sz w:val="24"/>
                <w:szCs w:val="24"/>
              </w:rPr>
            </w:pPr>
          </w:p>
          <w:p w:rsidR="00766D08" w:rsidRDefault="00766D08" w:rsidP="00766D08">
            <w:pPr>
              <w:rPr>
                <w:rFonts w:ascii="Arial" w:hAnsi="Arial" w:cs="Arial"/>
                <w:b/>
                <w:bCs/>
                <w:sz w:val="24"/>
                <w:szCs w:val="24"/>
              </w:rPr>
            </w:pPr>
          </w:p>
          <w:p w:rsidR="00766D08" w:rsidRDefault="00766D08" w:rsidP="00766D08">
            <w:pPr>
              <w:rPr>
                <w:rFonts w:ascii="Arial" w:hAnsi="Arial" w:cs="Arial"/>
                <w:b/>
                <w:bCs/>
                <w:sz w:val="24"/>
                <w:szCs w:val="24"/>
              </w:rPr>
            </w:pPr>
          </w:p>
          <w:p w:rsidR="00766D08" w:rsidRDefault="00766D08" w:rsidP="00766D08">
            <w:pPr>
              <w:rPr>
                <w:rFonts w:ascii="Arial" w:hAnsi="Arial" w:cs="Arial"/>
                <w:b/>
                <w:bCs/>
                <w:sz w:val="24"/>
                <w:szCs w:val="24"/>
              </w:rPr>
            </w:pPr>
          </w:p>
          <w:p w:rsidR="00766D08" w:rsidRPr="00766D08" w:rsidRDefault="00766D08" w:rsidP="00766D08">
            <w:pPr>
              <w:rPr>
                <w:rFonts w:ascii="Arial" w:hAnsi="Arial" w:cs="Arial"/>
                <w:b/>
                <w:bCs/>
                <w:sz w:val="24"/>
                <w:szCs w:val="24"/>
              </w:rPr>
            </w:pPr>
            <w:r w:rsidRPr="00766D08">
              <w:rPr>
                <w:rFonts w:ascii="Arial" w:hAnsi="Arial" w:cs="Arial"/>
                <w:b/>
                <w:bCs/>
                <w:sz w:val="24"/>
                <w:szCs w:val="24"/>
              </w:rPr>
              <w:t>Application Mechanism:</w:t>
            </w:r>
          </w:p>
        </w:tc>
        <w:tc>
          <w:tcPr>
            <w:tcW w:w="5966" w:type="dxa"/>
            <w:hideMark/>
          </w:tcPr>
          <w:p w:rsidR="00766D08" w:rsidRPr="00766D08" w:rsidRDefault="00766D08" w:rsidP="00766D08">
            <w:pPr>
              <w:rPr>
                <w:rFonts w:ascii="Arial" w:hAnsi="Arial" w:cs="Arial"/>
                <w:sz w:val="24"/>
                <w:szCs w:val="24"/>
              </w:rPr>
            </w:pPr>
            <w:r w:rsidRPr="00766D08">
              <w:rPr>
                <w:rFonts w:ascii="Arial" w:hAnsi="Arial" w:cs="Arial"/>
                <w:sz w:val="24"/>
                <w:szCs w:val="24"/>
              </w:rPr>
              <w:lastRenderedPageBreak/>
              <w:t xml:space="preserve">• Evaluate incoming transcripts and experiential learning documentation to determine credit transfer-ability to the university </w:t>
            </w:r>
          </w:p>
          <w:p w:rsidR="00766D08" w:rsidRPr="00766D08" w:rsidRDefault="00766D08" w:rsidP="00766D08">
            <w:pPr>
              <w:rPr>
                <w:rFonts w:ascii="Arial" w:hAnsi="Arial" w:cs="Arial"/>
                <w:sz w:val="24"/>
                <w:szCs w:val="24"/>
              </w:rPr>
            </w:pPr>
            <w:r w:rsidRPr="00766D08">
              <w:rPr>
                <w:rFonts w:ascii="Arial" w:hAnsi="Arial" w:cs="Arial"/>
                <w:sz w:val="24"/>
                <w:szCs w:val="24"/>
              </w:rPr>
              <w:t xml:space="preserve">• Apply transfer credits accurately to a student’s degree plan within the system </w:t>
            </w:r>
          </w:p>
          <w:p w:rsidR="00766D08" w:rsidRPr="00766D08" w:rsidRDefault="00766D08" w:rsidP="00766D08">
            <w:pPr>
              <w:rPr>
                <w:rFonts w:ascii="Arial" w:hAnsi="Arial" w:cs="Arial"/>
                <w:sz w:val="24"/>
                <w:szCs w:val="24"/>
              </w:rPr>
            </w:pPr>
            <w:r w:rsidRPr="00766D08">
              <w:rPr>
                <w:rFonts w:ascii="Arial" w:hAnsi="Arial" w:cs="Arial"/>
                <w:sz w:val="24"/>
                <w:szCs w:val="24"/>
              </w:rPr>
              <w:t xml:space="preserve">• Make updates to degree plans based on requested program changes or receipt of additional transcripts </w:t>
            </w:r>
          </w:p>
          <w:p w:rsidR="00766D08" w:rsidRPr="00766D08" w:rsidRDefault="00766D08" w:rsidP="00766D08">
            <w:pPr>
              <w:rPr>
                <w:rFonts w:ascii="Arial" w:hAnsi="Arial" w:cs="Arial"/>
                <w:sz w:val="24"/>
                <w:szCs w:val="24"/>
              </w:rPr>
            </w:pPr>
            <w:r w:rsidRPr="00766D08">
              <w:rPr>
                <w:rFonts w:ascii="Arial" w:hAnsi="Arial" w:cs="Arial"/>
                <w:sz w:val="24"/>
                <w:szCs w:val="24"/>
              </w:rPr>
              <w:t xml:space="preserve">• Respond to emails and phone calls within 24 hours </w:t>
            </w:r>
          </w:p>
          <w:p w:rsidR="00766D08" w:rsidRPr="00766D08" w:rsidRDefault="00766D08" w:rsidP="00766D08">
            <w:pPr>
              <w:rPr>
                <w:rFonts w:ascii="Arial" w:hAnsi="Arial" w:cs="Arial"/>
                <w:sz w:val="24"/>
                <w:szCs w:val="24"/>
              </w:rPr>
            </w:pPr>
            <w:r w:rsidRPr="00766D08">
              <w:rPr>
                <w:rFonts w:ascii="Arial" w:hAnsi="Arial" w:cs="Arial"/>
                <w:sz w:val="24"/>
                <w:szCs w:val="24"/>
              </w:rPr>
              <w:t xml:space="preserve">• Respond to </w:t>
            </w:r>
            <w:proofErr w:type="spellStart"/>
            <w:r w:rsidRPr="00766D08">
              <w:rPr>
                <w:rFonts w:ascii="Arial" w:hAnsi="Arial" w:cs="Arial"/>
                <w:sz w:val="24"/>
                <w:szCs w:val="24"/>
              </w:rPr>
              <w:t>Zendesk</w:t>
            </w:r>
            <w:proofErr w:type="spellEnd"/>
            <w:r w:rsidRPr="00766D08">
              <w:rPr>
                <w:rFonts w:ascii="Arial" w:hAnsi="Arial" w:cs="Arial"/>
                <w:sz w:val="24"/>
                <w:szCs w:val="24"/>
              </w:rPr>
              <w:t xml:space="preserve"> tickets within 24 hours </w:t>
            </w:r>
          </w:p>
          <w:p w:rsidR="00766D08" w:rsidRPr="00766D08" w:rsidRDefault="00766D08" w:rsidP="00766D08">
            <w:pPr>
              <w:rPr>
                <w:rFonts w:ascii="Arial" w:hAnsi="Arial" w:cs="Arial"/>
                <w:sz w:val="24"/>
                <w:szCs w:val="24"/>
              </w:rPr>
            </w:pPr>
            <w:r w:rsidRPr="00766D08">
              <w:rPr>
                <w:rFonts w:ascii="Arial" w:hAnsi="Arial" w:cs="Arial"/>
                <w:sz w:val="24"/>
                <w:szCs w:val="24"/>
              </w:rPr>
              <w:t>• Other duties as assigned</w:t>
            </w:r>
          </w:p>
          <w:p w:rsidR="00766D08" w:rsidRPr="00766D08" w:rsidRDefault="00766D08" w:rsidP="00766D08">
            <w:pPr>
              <w:rPr>
                <w:rFonts w:ascii="Arial" w:hAnsi="Arial" w:cs="Arial"/>
                <w:sz w:val="24"/>
                <w:szCs w:val="24"/>
              </w:rPr>
            </w:pPr>
            <w:r w:rsidRPr="00766D08">
              <w:rPr>
                <w:rFonts w:ascii="Arial" w:hAnsi="Arial" w:cs="Arial"/>
                <w:sz w:val="24"/>
                <w:szCs w:val="24"/>
              </w:rPr>
              <w:t xml:space="preserve">• Adobe Acrobat Pro </w:t>
            </w:r>
          </w:p>
          <w:p w:rsidR="00766D08" w:rsidRPr="00766D08" w:rsidRDefault="00766D08" w:rsidP="00766D08">
            <w:pPr>
              <w:rPr>
                <w:rFonts w:ascii="Arial" w:hAnsi="Arial" w:cs="Arial"/>
                <w:sz w:val="24"/>
                <w:szCs w:val="24"/>
              </w:rPr>
            </w:pPr>
            <w:r w:rsidRPr="00766D08">
              <w:rPr>
                <w:rFonts w:ascii="Arial" w:hAnsi="Arial" w:cs="Arial"/>
                <w:sz w:val="24"/>
                <w:szCs w:val="24"/>
              </w:rPr>
              <w:t xml:space="preserve">• Detail-oriented </w:t>
            </w:r>
          </w:p>
          <w:p w:rsidR="00766D08" w:rsidRPr="00766D08" w:rsidRDefault="00766D08" w:rsidP="00766D08">
            <w:pPr>
              <w:rPr>
                <w:rFonts w:ascii="Arial" w:hAnsi="Arial" w:cs="Arial"/>
                <w:sz w:val="24"/>
                <w:szCs w:val="24"/>
              </w:rPr>
            </w:pPr>
            <w:r w:rsidRPr="00766D08">
              <w:rPr>
                <w:rFonts w:ascii="Arial" w:hAnsi="Arial" w:cs="Arial"/>
                <w:sz w:val="24"/>
                <w:szCs w:val="24"/>
              </w:rPr>
              <w:lastRenderedPageBreak/>
              <w:t xml:space="preserve">• Interpersonal skills </w:t>
            </w:r>
          </w:p>
          <w:p w:rsidR="00766D08" w:rsidRPr="00766D08" w:rsidRDefault="00766D08" w:rsidP="00766D08">
            <w:pPr>
              <w:rPr>
                <w:rFonts w:ascii="Arial" w:hAnsi="Arial" w:cs="Arial"/>
                <w:sz w:val="24"/>
                <w:szCs w:val="24"/>
              </w:rPr>
            </w:pPr>
            <w:r w:rsidRPr="00766D08">
              <w:rPr>
                <w:rFonts w:ascii="Arial" w:hAnsi="Arial" w:cs="Arial"/>
                <w:sz w:val="24"/>
                <w:szCs w:val="24"/>
              </w:rPr>
              <w:t xml:space="preserve">• Multi-task </w:t>
            </w:r>
          </w:p>
          <w:p w:rsidR="00766D08" w:rsidRPr="00766D08" w:rsidRDefault="00766D08" w:rsidP="00766D08">
            <w:pPr>
              <w:rPr>
                <w:rFonts w:ascii="Arial" w:hAnsi="Arial" w:cs="Arial"/>
                <w:sz w:val="24"/>
                <w:szCs w:val="24"/>
              </w:rPr>
            </w:pPr>
            <w:r w:rsidRPr="00766D08">
              <w:rPr>
                <w:rFonts w:ascii="Arial" w:hAnsi="Arial" w:cs="Arial"/>
                <w:sz w:val="24"/>
                <w:szCs w:val="24"/>
              </w:rPr>
              <w:t xml:space="preserve">• Organization </w:t>
            </w:r>
          </w:p>
          <w:p w:rsidR="00766D08" w:rsidRPr="00766D08" w:rsidRDefault="00766D08" w:rsidP="00766D08">
            <w:pPr>
              <w:rPr>
                <w:rFonts w:ascii="Arial" w:hAnsi="Arial" w:cs="Arial"/>
                <w:sz w:val="24"/>
                <w:szCs w:val="24"/>
              </w:rPr>
            </w:pPr>
            <w:r w:rsidRPr="00766D08">
              <w:rPr>
                <w:rFonts w:ascii="Arial" w:hAnsi="Arial" w:cs="Arial"/>
                <w:sz w:val="24"/>
                <w:szCs w:val="24"/>
              </w:rPr>
              <w:t xml:space="preserve">• Use of higher education systems including student information systems, Transfer Evaluation System (TES), degree audit software </w:t>
            </w:r>
          </w:p>
          <w:p w:rsidR="00766D08" w:rsidRPr="00766D08" w:rsidRDefault="00766D08" w:rsidP="00766D08">
            <w:pPr>
              <w:rPr>
                <w:rFonts w:ascii="Arial" w:hAnsi="Arial" w:cs="Arial"/>
                <w:sz w:val="24"/>
                <w:szCs w:val="24"/>
              </w:rPr>
            </w:pPr>
            <w:r w:rsidRPr="00766D08">
              <w:rPr>
                <w:rFonts w:ascii="Arial" w:hAnsi="Arial" w:cs="Arial"/>
                <w:sz w:val="24"/>
                <w:szCs w:val="24"/>
              </w:rPr>
              <w:t xml:space="preserve">• Proficiency with Microsoft Word, Excel, and Adobe Acrobat Pro </w:t>
            </w:r>
          </w:p>
          <w:p w:rsidR="00766D08" w:rsidRPr="00766D08" w:rsidRDefault="00766D08" w:rsidP="00766D08">
            <w:pPr>
              <w:rPr>
                <w:rFonts w:ascii="Arial" w:hAnsi="Arial" w:cs="Arial"/>
                <w:sz w:val="24"/>
                <w:szCs w:val="24"/>
              </w:rPr>
            </w:pPr>
            <w:r w:rsidRPr="00766D08">
              <w:rPr>
                <w:rFonts w:ascii="Arial" w:hAnsi="Arial" w:cs="Arial"/>
                <w:sz w:val="24"/>
                <w:szCs w:val="24"/>
              </w:rPr>
              <w:t xml:space="preserve">• Ability to interpret and apply transfer credit policy guidelines </w:t>
            </w:r>
          </w:p>
          <w:p w:rsidR="00766D08" w:rsidRPr="00766D08" w:rsidRDefault="00766D08" w:rsidP="00766D08">
            <w:pPr>
              <w:rPr>
                <w:rFonts w:ascii="Arial" w:hAnsi="Arial" w:cs="Arial"/>
                <w:sz w:val="24"/>
                <w:szCs w:val="24"/>
              </w:rPr>
            </w:pPr>
            <w:r w:rsidRPr="00766D08">
              <w:rPr>
                <w:rFonts w:ascii="Arial" w:hAnsi="Arial" w:cs="Arial"/>
                <w:sz w:val="24"/>
                <w:szCs w:val="24"/>
              </w:rPr>
              <w:t xml:space="preserve">• Student Information Systems </w:t>
            </w:r>
          </w:p>
          <w:p w:rsidR="00766D08" w:rsidRPr="00766D08" w:rsidRDefault="00766D08" w:rsidP="00766D08">
            <w:pPr>
              <w:rPr>
                <w:rFonts w:ascii="Arial" w:hAnsi="Arial" w:cs="Arial"/>
                <w:sz w:val="24"/>
                <w:szCs w:val="24"/>
              </w:rPr>
            </w:pPr>
            <w:r w:rsidRPr="00766D08">
              <w:rPr>
                <w:rFonts w:ascii="Arial" w:hAnsi="Arial" w:cs="Arial"/>
                <w:sz w:val="24"/>
                <w:szCs w:val="24"/>
              </w:rPr>
              <w:t xml:space="preserve">• Broad understanding of FERPA and accreditation standards </w:t>
            </w:r>
          </w:p>
          <w:p w:rsidR="00766D08" w:rsidRPr="00766D08" w:rsidRDefault="00766D08" w:rsidP="00766D08">
            <w:pPr>
              <w:rPr>
                <w:rFonts w:ascii="Arial" w:hAnsi="Arial" w:cs="Arial"/>
                <w:sz w:val="24"/>
                <w:szCs w:val="24"/>
              </w:rPr>
            </w:pPr>
            <w:r w:rsidRPr="00766D08">
              <w:rPr>
                <w:rFonts w:ascii="Arial" w:hAnsi="Arial" w:cs="Arial"/>
                <w:sz w:val="24"/>
                <w:szCs w:val="24"/>
              </w:rPr>
              <w:t xml:space="preserve">• Verbal communication </w:t>
            </w:r>
          </w:p>
          <w:p w:rsidR="00766D08" w:rsidRPr="00766D08" w:rsidRDefault="00766D08" w:rsidP="00766D08">
            <w:pPr>
              <w:rPr>
                <w:rFonts w:ascii="Arial" w:hAnsi="Arial" w:cs="Arial"/>
                <w:sz w:val="24"/>
                <w:szCs w:val="24"/>
              </w:rPr>
            </w:pPr>
            <w:r w:rsidRPr="00766D08">
              <w:rPr>
                <w:rFonts w:ascii="Arial" w:hAnsi="Arial" w:cs="Arial"/>
                <w:sz w:val="24"/>
                <w:szCs w:val="24"/>
              </w:rPr>
              <w:t>• Written communication</w:t>
            </w:r>
          </w:p>
          <w:p w:rsidR="00766D08" w:rsidRPr="00766D08" w:rsidRDefault="00766D08" w:rsidP="00766D08">
            <w:pPr>
              <w:rPr>
                <w:rFonts w:ascii="Arial" w:hAnsi="Arial" w:cs="Arial"/>
                <w:sz w:val="24"/>
                <w:szCs w:val="24"/>
              </w:rPr>
            </w:pPr>
            <w:r w:rsidRPr="00766D08">
              <w:rPr>
                <w:rFonts w:ascii="Arial" w:hAnsi="Arial" w:cs="Arial"/>
                <w:sz w:val="24"/>
                <w:szCs w:val="24"/>
              </w:rPr>
              <w:t xml:space="preserve">• Bachelor degree from a regionally accredited university required </w:t>
            </w:r>
          </w:p>
          <w:p w:rsidR="00766D08" w:rsidRPr="00766D08" w:rsidRDefault="00766D08" w:rsidP="00766D08">
            <w:pPr>
              <w:rPr>
                <w:rFonts w:ascii="Arial" w:hAnsi="Arial" w:cs="Arial"/>
                <w:sz w:val="24"/>
                <w:szCs w:val="24"/>
              </w:rPr>
            </w:pPr>
            <w:r w:rsidRPr="00766D08">
              <w:rPr>
                <w:rFonts w:ascii="Arial" w:hAnsi="Arial" w:cs="Arial"/>
                <w:sz w:val="24"/>
                <w:szCs w:val="24"/>
              </w:rPr>
              <w:t xml:space="preserve">• At least two years of experience in higher education preferred </w:t>
            </w:r>
          </w:p>
          <w:p w:rsidR="00766D08" w:rsidRPr="00766D08" w:rsidRDefault="00766D08" w:rsidP="00766D08">
            <w:pPr>
              <w:rPr>
                <w:rFonts w:ascii="Arial" w:hAnsi="Arial" w:cs="Arial"/>
                <w:sz w:val="24"/>
                <w:szCs w:val="24"/>
              </w:rPr>
            </w:pPr>
            <w:r w:rsidRPr="00766D08">
              <w:rPr>
                <w:rFonts w:ascii="Arial" w:hAnsi="Arial" w:cs="Arial"/>
                <w:sz w:val="24"/>
                <w:szCs w:val="24"/>
              </w:rPr>
              <w:t xml:space="preserve">• Experience with state, university and or accrediting guidelines used in the transcript evaluation process preferred </w:t>
            </w:r>
          </w:p>
          <w:p w:rsidR="00766D08" w:rsidRPr="00766D08" w:rsidRDefault="00766D08" w:rsidP="00766D08">
            <w:pPr>
              <w:rPr>
                <w:rFonts w:ascii="Arial" w:hAnsi="Arial" w:cs="Arial"/>
                <w:sz w:val="24"/>
                <w:szCs w:val="24"/>
              </w:rPr>
            </w:pPr>
            <w:r w:rsidRPr="00766D08">
              <w:rPr>
                <w:rFonts w:ascii="Arial" w:hAnsi="Arial" w:cs="Arial"/>
                <w:sz w:val="24"/>
                <w:szCs w:val="24"/>
              </w:rPr>
              <w:t>• Experience evaluating student degree plans preferred</w:t>
            </w:r>
          </w:p>
          <w:p w:rsidR="00766D08" w:rsidRPr="00766D08" w:rsidRDefault="00766D08" w:rsidP="00766D08">
            <w:pPr>
              <w:rPr>
                <w:rFonts w:ascii="Arial" w:hAnsi="Arial" w:cs="Arial"/>
                <w:sz w:val="24"/>
                <w:szCs w:val="24"/>
              </w:rPr>
            </w:pPr>
          </w:p>
          <w:p w:rsidR="00766D08" w:rsidRPr="00766D08" w:rsidRDefault="00766D08" w:rsidP="00766D08">
            <w:pPr>
              <w:rPr>
                <w:rFonts w:ascii="Arial" w:hAnsi="Arial" w:cs="Arial"/>
                <w:sz w:val="24"/>
                <w:szCs w:val="24"/>
              </w:rPr>
            </w:pPr>
            <w:r w:rsidRPr="00766D08">
              <w:rPr>
                <w:rFonts w:ascii="Arial" w:hAnsi="Arial" w:cs="Arial"/>
                <w:sz w:val="24"/>
                <w:szCs w:val="24"/>
              </w:rPr>
              <w:t>Applications will be accepted until an appointment is made. Applications must include: resume; cover letter addressing interest and qualifications; names, addresses, phone numbers, and email addresses for three references. Applications will be held in confidence except for the individuals invited for campus interviews. All applications should be in Microsoft Word format.</w:t>
            </w:r>
          </w:p>
          <w:p w:rsidR="00766D08" w:rsidRPr="00766D08" w:rsidRDefault="00766D08" w:rsidP="00766D08">
            <w:pPr>
              <w:rPr>
                <w:rFonts w:ascii="Arial" w:hAnsi="Arial" w:cs="Arial"/>
                <w:sz w:val="24"/>
                <w:szCs w:val="24"/>
              </w:rPr>
            </w:pPr>
          </w:p>
          <w:p w:rsidR="00766D08" w:rsidRDefault="00766D08" w:rsidP="00A738DC">
            <w:pPr>
              <w:rPr>
                <w:rFonts w:ascii="Arial" w:hAnsi="Arial" w:cs="Arial"/>
                <w:b/>
                <w:sz w:val="24"/>
                <w:szCs w:val="24"/>
              </w:rPr>
            </w:pPr>
            <w:r w:rsidRPr="00766D08">
              <w:rPr>
                <w:rFonts w:ascii="Arial" w:hAnsi="Arial" w:cs="Arial"/>
                <w:b/>
                <w:sz w:val="24"/>
                <w:szCs w:val="24"/>
              </w:rPr>
              <w:t>Please visit the following site to be considered for this position:</w:t>
            </w:r>
          </w:p>
          <w:p w:rsidR="00A738DC" w:rsidRPr="00766D08" w:rsidRDefault="00A738DC" w:rsidP="00A738DC">
            <w:pPr>
              <w:rPr>
                <w:rFonts w:ascii="Arial" w:hAnsi="Arial" w:cs="Arial"/>
                <w:sz w:val="24"/>
                <w:szCs w:val="24"/>
              </w:rPr>
            </w:pPr>
          </w:p>
        </w:tc>
      </w:tr>
    </w:tbl>
    <w:p w:rsidR="00A738DC" w:rsidRPr="00A738DC" w:rsidRDefault="00A738DC" w:rsidP="00A738DC">
      <w:pPr>
        <w:pStyle w:val="ListParagraph"/>
        <w:numPr>
          <w:ilvl w:val="0"/>
          <w:numId w:val="1"/>
        </w:numPr>
        <w:rPr>
          <w:rFonts w:ascii="Arial" w:hAnsi="Arial" w:cs="Arial"/>
          <w:i/>
          <w:sz w:val="24"/>
          <w:szCs w:val="24"/>
        </w:rPr>
      </w:pPr>
      <w:r w:rsidRPr="00A738DC">
        <w:rPr>
          <w:rFonts w:ascii="Arial" w:hAnsi="Arial" w:cs="Arial"/>
          <w:i/>
          <w:sz w:val="24"/>
          <w:szCs w:val="24"/>
        </w:rPr>
        <w:lastRenderedPageBreak/>
        <w:t>https://staff-csuglobal.icims.com/jobs/intro?hashed=-435597318</w:t>
      </w:r>
    </w:p>
    <w:p w:rsidR="00A738DC" w:rsidRDefault="00A738DC" w:rsidP="00AA2334">
      <w:pPr>
        <w:rPr>
          <w:rFonts w:ascii="Arial" w:hAnsi="Arial" w:cs="Arial"/>
          <w:sz w:val="24"/>
          <w:szCs w:val="24"/>
        </w:rPr>
      </w:pPr>
    </w:p>
    <w:p w:rsidR="0099783E" w:rsidRDefault="00A738DC">
      <w:r>
        <w:rPr>
          <w:rFonts w:ascii="Arial" w:hAnsi="Arial" w:cs="Arial"/>
          <w:sz w:val="24"/>
          <w:szCs w:val="24"/>
        </w:rPr>
        <w:t>Thank you.</w:t>
      </w:r>
    </w:p>
    <w:sectPr w:rsidR="00997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74994"/>
    <w:multiLevelType w:val="hybridMultilevel"/>
    <w:tmpl w:val="FADED2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34"/>
    <w:rsid w:val="001A37F2"/>
    <w:rsid w:val="00502B07"/>
    <w:rsid w:val="00766D08"/>
    <w:rsid w:val="00801B53"/>
    <w:rsid w:val="0099783E"/>
    <w:rsid w:val="00A738DC"/>
    <w:rsid w:val="00AA2334"/>
    <w:rsid w:val="00AE2181"/>
    <w:rsid w:val="00C23E53"/>
    <w:rsid w:val="00F61F99"/>
    <w:rsid w:val="00FB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A8E01-EA67-4F0B-AF31-E40D406E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3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334"/>
    <w:rPr>
      <w:color w:val="0563C1"/>
      <w:u w:val="single"/>
    </w:rPr>
  </w:style>
  <w:style w:type="table" w:styleId="TableGrid">
    <w:name w:val="Table Grid"/>
    <w:basedOn w:val="TableNormal"/>
    <w:uiPriority w:val="39"/>
    <w:rsid w:val="00AA2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3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Zeiders Enterprises, Inc.</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O'Bannon</dc:creator>
  <cp:lastModifiedBy>Thomas, Danielle M Mrs CIV USA </cp:lastModifiedBy>
  <cp:revision>2</cp:revision>
  <dcterms:created xsi:type="dcterms:W3CDTF">2018-08-28T19:50:00Z</dcterms:created>
  <dcterms:modified xsi:type="dcterms:W3CDTF">2018-08-28T19:50:00Z</dcterms:modified>
</cp:coreProperties>
</file>